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Style w:val="4"/>
          <w:rFonts w:hint="eastAsia" w:ascii="仿宋" w:hAnsi="仿宋" w:eastAsia="仿宋" w:cs="仿宋"/>
          <w:b w:val="0"/>
          <w:bCs/>
          <w:color w:val="auto"/>
          <w:sz w:val="44"/>
          <w:szCs w:val="44"/>
          <w:highlight w:val="none"/>
          <w:shd w:val="clear" w:color="auto" w:fill="FFFFFF"/>
          <w:lang w:eastAsia="zh-CN"/>
        </w:rPr>
      </w:pPr>
      <w:r>
        <w:rPr>
          <w:rStyle w:val="4"/>
          <w:rFonts w:hint="eastAsia" w:ascii="仿宋" w:hAnsi="仿宋" w:eastAsia="仿宋" w:cs="仿宋"/>
          <w:b w:val="0"/>
          <w:bCs/>
          <w:color w:val="auto"/>
          <w:sz w:val="44"/>
          <w:szCs w:val="44"/>
          <w:highlight w:val="none"/>
          <w:shd w:val="clear" w:color="auto" w:fill="FFFFFF"/>
          <w:lang w:eastAsia="zh-CN"/>
        </w:rPr>
        <w:t>《公司债券发行与交易管理办法（征求意见稿）》修订说</w:t>
      </w:r>
      <w:bookmarkStart w:id="0" w:name="_GoBack"/>
      <w:bookmarkEnd w:id="0"/>
      <w:r>
        <w:rPr>
          <w:rStyle w:val="4"/>
          <w:rFonts w:hint="eastAsia" w:ascii="仿宋" w:hAnsi="仿宋" w:eastAsia="仿宋" w:cs="仿宋"/>
          <w:b w:val="0"/>
          <w:bCs/>
          <w:color w:val="auto"/>
          <w:sz w:val="44"/>
          <w:szCs w:val="44"/>
          <w:highlight w:val="none"/>
          <w:shd w:val="clear" w:color="auto" w:fill="FFFFFF"/>
          <w:lang w:eastAsia="zh-CN"/>
        </w:rPr>
        <w:t>明</w:t>
      </w:r>
    </w:p>
    <w:p>
      <w:pPr>
        <w:rPr>
          <w:rStyle w:val="4"/>
          <w:rFonts w:hint="eastAsia" w:ascii="仿宋" w:hAnsi="仿宋" w:eastAsia="仿宋" w:cs="仿宋"/>
          <w:b w:val="0"/>
          <w:bCs/>
          <w:color w:val="auto"/>
          <w:sz w:val="32"/>
          <w:szCs w:val="32"/>
          <w:highlight w:val="none"/>
          <w:shd w:val="clear" w:color="auto" w:fill="FFFFFF"/>
          <w:lang w:eastAsia="zh-CN"/>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rPr>
          <w:rStyle w:val="4"/>
          <w:rFonts w:hint="eastAsia" w:ascii="仿宋" w:hAnsi="仿宋" w:eastAsia="仿宋" w:cs="仿宋"/>
          <w:b w:val="0"/>
          <w:bCs/>
          <w:color w:val="auto"/>
          <w:sz w:val="32"/>
          <w:szCs w:val="32"/>
          <w:highlight w:val="none"/>
          <w:shd w:val="clear" w:color="auto" w:fill="FFFFFF"/>
          <w:lang w:eastAsia="zh-CN"/>
        </w:rPr>
      </w:pPr>
      <w:r>
        <w:rPr>
          <w:rStyle w:val="4"/>
          <w:rFonts w:hint="eastAsia" w:ascii="仿宋" w:hAnsi="仿宋" w:eastAsia="仿宋" w:cs="仿宋"/>
          <w:b w:val="0"/>
          <w:bCs/>
          <w:color w:val="auto"/>
          <w:sz w:val="32"/>
          <w:szCs w:val="32"/>
          <w:highlight w:val="none"/>
          <w:shd w:val="clear" w:color="auto" w:fill="FFFFFF"/>
          <w:lang w:eastAsia="zh-CN"/>
        </w:rPr>
        <w:t>为贯彻落实党中央、国务院关于机构改革的决策部署，夯实企业债券法制基础，结合债券市场监管实践，中国证监会对《公司债券发行与交易管理办法》（以下简称《管理办法》）进行了修订。现将相关情况说明如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Style w:val="4"/>
          <w:rFonts w:hint="eastAsia" w:ascii="仿宋" w:hAnsi="仿宋" w:eastAsia="仿宋" w:cs="仿宋"/>
          <w:b w:val="0"/>
          <w:bCs/>
          <w:color w:val="auto"/>
          <w:sz w:val="32"/>
          <w:szCs w:val="32"/>
          <w:highlight w:val="none"/>
          <w:shd w:val="clear" w:color="auto" w:fill="FFFFFF"/>
          <w:lang w:eastAsia="zh-CN"/>
        </w:rPr>
      </w:pPr>
      <w:r>
        <w:rPr>
          <w:rStyle w:val="4"/>
          <w:rFonts w:hint="eastAsia" w:ascii="仿宋" w:hAnsi="仿宋" w:eastAsia="仿宋" w:cs="仿宋"/>
          <w:b w:val="0"/>
          <w:bCs/>
          <w:color w:val="auto"/>
          <w:sz w:val="32"/>
          <w:szCs w:val="32"/>
          <w:highlight w:val="none"/>
          <w:shd w:val="clear" w:color="auto" w:fill="FFFFFF"/>
          <w:lang w:eastAsia="zh-CN"/>
        </w:rPr>
        <w:t xml:space="preserve">一、《管理办法》修订思路 </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Style w:val="4"/>
          <w:rFonts w:hint="eastAsia" w:ascii="仿宋" w:hAnsi="仿宋" w:eastAsia="仿宋" w:cs="仿宋"/>
          <w:b w:val="0"/>
          <w:bCs/>
          <w:color w:val="auto"/>
          <w:sz w:val="32"/>
          <w:szCs w:val="32"/>
          <w:highlight w:val="none"/>
          <w:shd w:val="clear" w:color="auto" w:fill="FFFFFF"/>
          <w:lang w:eastAsia="zh-CN"/>
        </w:rPr>
      </w:pPr>
      <w:r>
        <w:rPr>
          <w:rStyle w:val="4"/>
          <w:rFonts w:hint="eastAsia" w:ascii="仿宋" w:hAnsi="仿宋" w:eastAsia="仿宋" w:cs="仿宋"/>
          <w:b w:val="0"/>
          <w:bCs/>
          <w:color w:val="auto"/>
          <w:sz w:val="32"/>
          <w:szCs w:val="32"/>
          <w:highlight w:val="none"/>
          <w:shd w:val="clear" w:color="auto" w:fill="FFFFFF"/>
          <w:lang w:eastAsia="zh-CN"/>
        </w:rPr>
        <w:t>一是推动企业债券与公司债券协同发展。本次修订落实《党和国家机构改革方案》关于“划入国家发展和改革委员会的企业债券发行审核职责，由中国证券监督管理委员会统一负责公司（企业）债券发行审核工作”的重要部署，强化资本市场监管，将企业债券总体纳入公司债券监管框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Style w:val="4"/>
          <w:rFonts w:hint="eastAsia" w:ascii="仿宋" w:hAnsi="仿宋" w:eastAsia="仿宋" w:cs="仿宋"/>
          <w:b w:val="0"/>
          <w:bCs/>
          <w:color w:val="auto"/>
          <w:sz w:val="32"/>
          <w:szCs w:val="32"/>
          <w:highlight w:val="none"/>
          <w:shd w:val="clear" w:color="auto" w:fill="FFFFFF"/>
          <w:lang w:eastAsia="zh-CN"/>
        </w:rPr>
      </w:pPr>
      <w:r>
        <w:rPr>
          <w:rStyle w:val="4"/>
          <w:rFonts w:hint="eastAsia" w:ascii="仿宋" w:hAnsi="仿宋" w:eastAsia="仿宋" w:cs="仿宋"/>
          <w:b w:val="0"/>
          <w:bCs/>
          <w:color w:val="auto"/>
          <w:sz w:val="32"/>
          <w:szCs w:val="32"/>
          <w:highlight w:val="none"/>
          <w:shd w:val="clear" w:color="auto" w:fill="FFFFFF"/>
          <w:lang w:eastAsia="zh-CN"/>
        </w:rPr>
        <w:t>二是进一步加强债券市场监管。现行的《管理办法》制定于2015年，修订于2021年。根据债券市场发展实际和监管实践，对《管理办法》的部分内容进行修订，强化对防假打假、募集资金、非市场化发行等方面的监管要求。</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Style w:val="4"/>
          <w:rFonts w:hint="eastAsia" w:ascii="仿宋" w:hAnsi="仿宋" w:eastAsia="仿宋" w:cs="仿宋"/>
          <w:b w:val="0"/>
          <w:bCs/>
          <w:color w:val="auto"/>
          <w:sz w:val="32"/>
          <w:szCs w:val="32"/>
          <w:highlight w:val="none"/>
          <w:shd w:val="clear" w:color="auto" w:fill="FFFFFF"/>
          <w:lang w:eastAsia="zh-CN"/>
        </w:rPr>
      </w:pPr>
      <w:r>
        <w:rPr>
          <w:rStyle w:val="4"/>
          <w:rFonts w:hint="eastAsia" w:ascii="仿宋" w:hAnsi="仿宋" w:eastAsia="仿宋" w:cs="仿宋"/>
          <w:b w:val="0"/>
          <w:bCs/>
          <w:color w:val="auto"/>
          <w:sz w:val="32"/>
          <w:szCs w:val="32"/>
          <w:highlight w:val="none"/>
          <w:shd w:val="clear" w:color="auto" w:fill="FFFFFF"/>
          <w:lang w:eastAsia="zh-CN"/>
        </w:rPr>
        <w:t>二、《管理办法》修订主要内容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Style w:val="4"/>
          <w:rFonts w:hint="eastAsia" w:ascii="仿宋" w:hAnsi="仿宋" w:eastAsia="仿宋" w:cs="仿宋"/>
          <w:b w:val="0"/>
          <w:bCs/>
          <w:color w:val="auto"/>
          <w:sz w:val="32"/>
          <w:szCs w:val="32"/>
          <w:highlight w:val="none"/>
          <w:shd w:val="clear" w:color="auto" w:fill="FFFFFF"/>
          <w:lang w:eastAsia="zh-CN"/>
        </w:rPr>
      </w:pPr>
      <w:r>
        <w:rPr>
          <w:rStyle w:val="4"/>
          <w:rFonts w:hint="eastAsia" w:ascii="仿宋" w:hAnsi="仿宋" w:eastAsia="仿宋" w:cs="仿宋"/>
          <w:b w:val="0"/>
          <w:bCs/>
          <w:color w:val="auto"/>
          <w:sz w:val="32"/>
          <w:szCs w:val="32"/>
          <w:highlight w:val="none"/>
          <w:shd w:val="clear" w:color="auto" w:fill="FFFFFF"/>
          <w:lang w:eastAsia="zh-CN"/>
        </w:rPr>
        <w:t>修订后的《管理办法》较原办法新增一条，共九章八十一条。主要进行五方面修订：</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Style w:val="4"/>
          <w:rFonts w:hint="eastAsia" w:ascii="仿宋" w:hAnsi="仿宋" w:eastAsia="仿宋" w:cs="仿宋"/>
          <w:b w:val="0"/>
          <w:bCs/>
          <w:color w:val="auto"/>
          <w:sz w:val="32"/>
          <w:szCs w:val="32"/>
          <w:highlight w:val="none"/>
          <w:shd w:val="clear" w:color="auto" w:fill="FFFFFF"/>
          <w:lang w:eastAsia="zh-CN"/>
        </w:rPr>
      </w:pPr>
      <w:r>
        <w:rPr>
          <w:rStyle w:val="4"/>
          <w:rFonts w:hint="eastAsia" w:ascii="仿宋" w:hAnsi="仿宋" w:eastAsia="仿宋" w:cs="仿宋"/>
          <w:b w:val="0"/>
          <w:bCs/>
          <w:color w:val="auto"/>
          <w:sz w:val="32"/>
          <w:szCs w:val="32"/>
          <w:highlight w:val="none"/>
          <w:shd w:val="clear" w:color="auto" w:fill="FFFFFF"/>
          <w:lang w:eastAsia="zh-CN"/>
        </w:rPr>
        <w:t>一是将企业债券纳入《管理办法》规制范围，结合企业债券特点，完善债券信息披露等方面的监管要求。</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Style w:val="4"/>
          <w:rFonts w:hint="eastAsia" w:ascii="仿宋" w:hAnsi="仿宋" w:eastAsia="仿宋" w:cs="仿宋"/>
          <w:b w:val="0"/>
          <w:bCs/>
          <w:color w:val="auto"/>
          <w:sz w:val="32"/>
          <w:szCs w:val="32"/>
          <w:highlight w:val="none"/>
          <w:shd w:val="clear" w:color="auto" w:fill="FFFFFF"/>
          <w:lang w:eastAsia="zh-CN"/>
        </w:rPr>
      </w:pPr>
      <w:r>
        <w:rPr>
          <w:rStyle w:val="4"/>
          <w:rFonts w:hint="eastAsia" w:ascii="仿宋" w:hAnsi="仿宋" w:eastAsia="仿宋" w:cs="仿宋"/>
          <w:b w:val="0"/>
          <w:bCs/>
          <w:color w:val="auto"/>
          <w:sz w:val="32"/>
          <w:szCs w:val="32"/>
          <w:highlight w:val="none"/>
          <w:shd w:val="clear" w:color="auto" w:fill="FFFFFF"/>
          <w:lang w:eastAsia="zh-CN"/>
        </w:rPr>
        <w:t>二是强化防假打假要求，压实发行人作为信息披露第一责任人的义务，完善中国证监会及其派出机构、证券交易所开展现场检查的机制。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Style w:val="4"/>
          <w:rFonts w:hint="eastAsia" w:ascii="仿宋" w:hAnsi="仿宋" w:eastAsia="仿宋" w:cs="仿宋"/>
          <w:b w:val="0"/>
          <w:bCs/>
          <w:color w:val="auto"/>
          <w:sz w:val="32"/>
          <w:szCs w:val="32"/>
          <w:highlight w:val="none"/>
          <w:shd w:val="clear" w:color="auto" w:fill="FFFFFF"/>
          <w:lang w:eastAsia="zh-CN"/>
        </w:rPr>
      </w:pPr>
      <w:r>
        <w:rPr>
          <w:rStyle w:val="4"/>
          <w:rFonts w:hint="eastAsia" w:ascii="仿宋" w:hAnsi="仿宋" w:eastAsia="仿宋" w:cs="仿宋"/>
          <w:b w:val="0"/>
          <w:bCs/>
          <w:color w:val="auto"/>
          <w:sz w:val="32"/>
          <w:szCs w:val="32"/>
          <w:highlight w:val="none"/>
          <w:shd w:val="clear" w:color="auto" w:fill="FFFFFF"/>
          <w:lang w:eastAsia="zh-CN"/>
        </w:rPr>
        <w:t>三是强化募集资金监管，进一步完善募集资金相关的信息披露要求。</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Style w:val="4"/>
          <w:rFonts w:hint="eastAsia" w:ascii="仿宋" w:hAnsi="仿宋" w:eastAsia="仿宋" w:cs="仿宋"/>
          <w:b w:val="0"/>
          <w:bCs/>
          <w:color w:val="auto"/>
          <w:sz w:val="32"/>
          <w:szCs w:val="32"/>
          <w:highlight w:val="none"/>
          <w:shd w:val="clear" w:color="auto" w:fill="FFFFFF"/>
          <w:lang w:eastAsia="zh-CN"/>
        </w:rPr>
      </w:pPr>
      <w:r>
        <w:rPr>
          <w:rStyle w:val="4"/>
          <w:rFonts w:hint="eastAsia" w:ascii="仿宋" w:hAnsi="仿宋" w:eastAsia="仿宋" w:cs="仿宋"/>
          <w:b w:val="0"/>
          <w:bCs/>
          <w:color w:val="auto"/>
          <w:sz w:val="32"/>
          <w:szCs w:val="32"/>
          <w:highlight w:val="none"/>
          <w:shd w:val="clear" w:color="auto" w:fill="FFFFFF"/>
          <w:lang w:eastAsia="zh-CN"/>
        </w:rPr>
        <w:t>四是强化对非市场化发行的监管，明确发行人的控股股东、实际控制人不得参与非市场化发行。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Style w:val="4"/>
          <w:rFonts w:hint="eastAsia" w:ascii="仿宋" w:hAnsi="仿宋" w:eastAsia="仿宋" w:cs="仿宋"/>
          <w:b w:val="0"/>
          <w:bCs/>
          <w:color w:val="auto"/>
          <w:sz w:val="32"/>
          <w:szCs w:val="32"/>
          <w:highlight w:val="none"/>
          <w:shd w:val="clear" w:color="auto" w:fill="FFFFFF"/>
          <w:lang w:eastAsia="zh-CN"/>
        </w:rPr>
      </w:pPr>
      <w:r>
        <w:rPr>
          <w:rStyle w:val="4"/>
          <w:rFonts w:hint="eastAsia" w:ascii="仿宋" w:hAnsi="仿宋" w:eastAsia="仿宋" w:cs="仿宋"/>
          <w:b w:val="0"/>
          <w:bCs/>
          <w:color w:val="auto"/>
          <w:sz w:val="32"/>
          <w:szCs w:val="32"/>
          <w:highlight w:val="none"/>
          <w:shd w:val="clear" w:color="auto" w:fill="FFFFFF"/>
          <w:lang w:eastAsia="zh-CN"/>
        </w:rPr>
        <w:t>五是根据《中国证券监督管理委员会行政许可实施程序规定》（2023年修订），对发行上市审核程序或者发行注册程序的中止情形进行了适应性修改，不再将主承销商和证券服务机构及其有关人员被立案调查列为应当中止审核注册情形，并同步修改恢复审查的配套条款。</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仿宋">
    <w:altName w:val="微软雅黑"/>
    <w:panose1 w:val="02010609060101010101"/>
    <w:charset w:val="00"/>
    <w:family w:val="auto"/>
    <w:pitch w:val="default"/>
    <w:sig w:usb0="00000000" w:usb1="00000000"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9ED2F3D"/>
    <w:rsid w:val="79ED2F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2023-09-11T09:32:00Z</dcterms:created>
  <dc:creator>bulq</dc:creator>
  <cp:lastModifiedBy>bulq</cp:lastModifiedBy>
  <dcterms:modified xsi:type="dcterms:W3CDTF">2023-09-11T09:34:08Z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ies>
</file>